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center"/>
      </w:pPr>
      <w:r>
        <w:rPr>
          <w:rFonts w:ascii="Arial" w:cs="Arial" w:eastAsia="Arial" w:hAnsi="Arial"/>
          <w:b/>
          <w:bCs/>
          <w:color w:val="1F3864"/>
          <w:sz w:val="48"/>
          <w:szCs w:val="48"/>
        </w:rPr>
        <w:t xml:space="preserve">Anawanna Trails District 13</w:t>
      </w:r>
    </w:p>
    <w:p>
      <w:pPr>
        <w:spacing w:after="120" w:before="0"/>
        <w:jc w:val="center"/>
      </w:pPr>
      <w:r>
        <w:rPr>
          <w:rFonts w:ascii="Arial" w:cs="Arial" w:eastAsia="Arial" w:hAnsi="Arial"/>
          <w:color w:val="2E5F96"/>
          <w:sz w:val="36"/>
          <w:szCs w:val="36"/>
        </w:rPr>
        <w:t xml:space="preserve">Service Hours Trends and Analysis</w:t>
      </w:r>
    </w:p>
    <w:p>
      <w:pPr>
        <w:spacing w:after="480" w:before="0"/>
        <w:jc w:val="center"/>
      </w:pPr>
      <w:r>
        <w:rPr>
          <w:rFonts w:ascii="Arial" w:cs="Arial" w:eastAsia="Arial" w:hAnsi="Arial"/>
          <w:i/>
          <w:iCs/>
          <w:color w:val="777777"/>
          <w:sz w:val="22"/>
          <w:szCs w:val="22"/>
        </w:rPr>
        <w:t xml:space="preserve">District Chairman Transition Report  •  April 2026</w:t>
      </w:r>
    </w:p>
    <w:p>
      <w:pPr>
        <w:pStyle w:val="Heading1"/>
      </w:pPr>
      <w:r>
        <w:rPr>
          <w:rFonts w:ascii="Arial" w:cs="Arial" w:eastAsia="Arial" w:hAnsi="Arial"/>
          <w:b/>
          <w:bCs/>
          <w:sz w:val="32"/>
          <w:szCs w:val="32"/>
        </w:rPr>
        <w:t xml:space="preserve">Executive Summary</w:t>
      </w:r>
    </w:p>
    <w:p>
      <w:pPr>
        <w:spacing w:after="160"/>
      </w:pPr>
      <w:r>
        <w:rPr>
          <w:rFonts w:ascii="Arial" w:cs="Arial" w:eastAsia="Arial" w:hAnsi="Arial"/>
          <w:sz w:val="24"/>
          <w:szCs w:val="24"/>
        </w:rPr>
        <w:t xml:space="preserve">Community service is a cornerstone of the Scouting mission. For Anawanna Trails District 13, service data reported through Scouting America's Internet Advancement system paints a picture of meaningful but declining engagement from 2020 through 2025, with a significant negative trend in the most recent full program year. It is important to note that reported figures represent only </w:t>
      </w:r>
      <w:r>
        <w:rPr>
          <w:rFonts w:ascii="Arial" w:cs="Arial" w:eastAsia="Arial" w:hAnsi="Arial"/>
          <w:b/>
          <w:bCs/>
          <w:sz w:val="24"/>
          <w:szCs w:val="24"/>
        </w:rPr>
        <w:t xml:space="preserve">recorded</w:t>
      </w:r>
      <w:r>
        <w:rPr>
          <w:rFonts w:ascii="Arial" w:cs="Arial" w:eastAsia="Arial" w:hAnsi="Arial"/>
          <w:sz w:val="24"/>
          <w:szCs w:val="24"/>
        </w:rPr>
        <w:t xml:space="preserve"> service; actual service performed by district units is almost certainly higher, as many units underutilize the OLR/Internet Advancement reporting system.</w:t>
      </w:r>
    </w:p>
    <w:p>
      <w:pPr>
        <w:spacing w:after="80"/>
      </w:pPr>
      <w:r>
        <w:t xml:space="preserve"/>
      </w:r>
    </w:p>
    <w:p>
      <w:pPr>
        <w:spacing w:after="160"/>
      </w:pPr>
      <w:r>
        <w:rPr>
          <w:rFonts w:ascii="Arial" w:cs="Arial" w:eastAsia="Arial" w:hAnsi="Arial"/>
          <w:sz w:val="24"/>
          <w:szCs w:val="24"/>
        </w:rPr>
        <w:t xml:space="preserve">Across the six completed program years from 2020 through 2025, district units collectively reported </w:t>
      </w:r>
      <w:r>
        <w:rPr>
          <w:rFonts w:ascii="Arial" w:cs="Arial" w:eastAsia="Arial" w:hAnsi="Arial"/>
          <w:b/>
          <w:bCs/>
          <w:sz w:val="24"/>
          <w:szCs w:val="24"/>
        </w:rPr>
        <w:t xml:space="preserve">7,162.6 service hours across 2,449 projects</w:t>
      </w:r>
      <w:r>
        <w:rPr>
          <w:rFonts w:ascii="Arial" w:cs="Arial" w:eastAsia="Arial" w:hAnsi="Arial"/>
          <w:sz w:val="24"/>
          <w:szCs w:val="24"/>
        </w:rPr>
        <w:t xml:space="preserve">. Service peaked in </w:t>
      </w:r>
      <w:r>
        <w:rPr>
          <w:rFonts w:ascii="Arial" w:cs="Arial" w:eastAsia="Arial" w:hAnsi="Arial"/>
          <w:b/>
          <w:bCs/>
          <w:sz w:val="24"/>
          <w:szCs w:val="24"/>
        </w:rPr>
        <w:t xml:space="preserve">2024 at 1,659 hours</w:t>
      </w:r>
      <w:r>
        <w:rPr>
          <w:rFonts w:ascii="Arial" w:cs="Arial" w:eastAsia="Arial" w:hAnsi="Arial"/>
          <w:sz w:val="24"/>
          <w:szCs w:val="24"/>
        </w:rPr>
        <w:t xml:space="preserve"> — the highest single year in the dataset — before falling sharply to </w:t>
      </w:r>
      <w:r>
        <w:rPr>
          <w:rFonts w:ascii="Arial" w:cs="Arial" w:eastAsia="Arial" w:hAnsi="Arial"/>
          <w:b/>
          <w:bCs/>
          <w:sz w:val="24"/>
          <w:szCs w:val="24"/>
        </w:rPr>
        <w:t xml:space="preserve">985 hours in 2025</w:t>
      </w:r>
      <w:r>
        <w:rPr>
          <w:rFonts w:ascii="Arial" w:cs="Arial" w:eastAsia="Arial" w:hAnsi="Arial"/>
          <w:sz w:val="24"/>
          <w:szCs w:val="24"/>
        </w:rPr>
        <w:t xml:space="preserve">, a 41% decline. The number of reporting units has also contracted from 16 in 2020 to 10 in 2025, tracking closely with the broader pattern of unit closures documented in the district’s membership analysis.</w:t>
      </w:r>
    </w:p>
    <w:p>
      <w:pPr>
        <w:spacing w:after="80"/>
      </w:pPr>
      <w:r>
        <w:t xml:space="preserve"/>
      </w:r>
    </w:p>
    <w:p>
      <w:pPr>
        <w:spacing w:after="160"/>
      </w:pPr>
      <w:r>
        <w:rPr>
          <w:rFonts w:ascii="Arial" w:cs="Arial" w:eastAsia="Arial" w:hAnsi="Arial"/>
          <w:sz w:val="24"/>
          <w:szCs w:val="24"/>
        </w:rPr>
        <w:t xml:space="preserve">The most important individual story in the service data is </w:t>
      </w:r>
      <w:r>
        <w:rPr>
          <w:rFonts w:ascii="Arial" w:cs="Arial" w:eastAsia="Arial" w:hAnsi="Arial"/>
          <w:b/>
          <w:bCs/>
          <w:sz w:val="24"/>
          <w:szCs w:val="24"/>
        </w:rPr>
        <w:t xml:space="preserve">Troop 1005</w:t>
      </w:r>
      <w:r>
        <w:rPr>
          <w:rFonts w:ascii="Arial" w:cs="Arial" w:eastAsia="Arial" w:hAnsi="Arial"/>
          <w:sz w:val="24"/>
          <w:szCs w:val="24"/>
        </w:rPr>
        <w:t xml:space="preserve">, which logged an extraordinary 552 service hours across 130 projects in 2025 — by far the highest single-unit total in any year of this dataset. Conversely, several formerly strong service units have dramatically reduced their output: Troop 1280 fell from 395.5 hours in 2022 to just 3 in 2025, and Troop 1305 (Boys) dropped from 341 hours in 2020 to 9.5 in 2025.</w:t>
      </w:r>
    </w:p>
    <w:p>
      <w:pPr>
        <w:spacing w:after="80"/>
      </w:pPr>
      <w:r>
        <w:t xml:space="preserve"/>
      </w:r>
    </w:p>
    <w:p>
      <w:pPr>
        <w:spacing w:after="160"/>
      </w:pPr>
      <w:r>
        <w:rPr>
          <w:rFonts w:ascii="Arial" w:cs="Arial" w:eastAsia="Arial" w:hAnsi="Arial"/>
          <w:b/>
          <w:bCs/>
          <w:sz w:val="24"/>
          <w:szCs w:val="24"/>
        </w:rPr>
        <w:t xml:space="preserve">Key findings for the incoming District Chairman: </w:t>
      </w:r>
      <w:r>
        <w:rPr>
          <w:rFonts w:ascii="Arial" w:cs="Arial" w:eastAsia="Arial" w:hAnsi="Arial"/>
          <w:sz w:val="24"/>
          <w:szCs w:val="24"/>
        </w:rPr>
        <w:t xml:space="preserve">Service hour reporting is inconsistent across the district, with a handful of high-performing units accounting for the majority of reported hours. Improving reporting compliance and re-energizing service culture in underperforming units are both achievable near-term goals. The loss of confirmed-closed units — particularly Troop 1103, which reported 188 hours in its final year — will need to be offset by growth in remaining units.</w:t>
      </w:r>
    </w:p>
    <w:p>
      <w:pPr>
        <w:spacing w:after="80"/>
      </w:pPr>
      <w:r>
        <w:t xml:space="preserve"/>
      </w:r>
    </w:p>
    <w:p>
      <w:pPr>
        <w:pStyle w:val="Heading1"/>
      </w:pPr>
      <w:r>
        <w:rPr>
          <w:rFonts w:ascii="Arial" w:cs="Arial" w:eastAsia="Arial" w:hAnsi="Arial"/>
          <w:b/>
          <w:bCs/>
          <w:sz w:val="32"/>
          <w:szCs w:val="32"/>
        </w:rPr>
        <w:t xml:space="preserve">Annual Service Hours Overview (2020–2026)</w:t>
      </w:r>
    </w:p>
    <w:p>
      <w:pPr>
        <w:spacing w:after="160"/>
      </w:pPr>
      <w:r>
        <w:rPr>
          <w:rFonts w:ascii="Arial" w:cs="Arial" w:eastAsia="Arial" w:hAnsi="Arial"/>
          <w:i/>
          <w:iCs/>
          <w:sz w:val="24"/>
          <w:szCs w:val="24"/>
        </w:rPr>
        <w:t xml:space="preserve">† Eagle Scout Project data is reported at the council level (Laurel Highlands Council 527), not district-specific. It is included here for context only and should not be used to evaluate district-level service output. Rows highlighted in orange indicate unit service hours below 1,000 in a full program year.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rPr>
          <w:tblHeader/>
        </w:trPr>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Year</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Service Projects</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Unit Svc Hours</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Reporting Units</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Eagle Projects†</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Eagle Proj Hours†</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2020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403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1,319.0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16</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288</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48,375</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2021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527</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1,500.0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311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51,515</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2022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455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1,530.3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283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43,093</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2023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347</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1,089.3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253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35,200</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2024</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405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1,659.3</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246</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38,671</w:t>
            </w:r>
          </w:p>
        </w:tc>
      </w:tr>
      <w:tr>
        <w:tc>
          <w:tcPr>
            <w:tcW w:type="dxa" w:w="15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2025</w:t>
            </w:r>
          </w:p>
        </w:tc>
        <w:tc>
          <w:tcPr>
            <w:tcW w:type="dxa" w:w="15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312</w:t>
            </w:r>
          </w:p>
        </w:tc>
        <w:tc>
          <w:tcPr>
            <w:tcW w:type="dxa" w:w="15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b/>
                <w:bCs/>
                <w:sz w:val="20"/>
                <w:szCs w:val="20"/>
              </w:rPr>
              <w:t xml:space="preserve">984.9</w:t>
            </w:r>
          </w:p>
        </w:tc>
        <w:tc>
          <w:tcPr>
            <w:tcW w:type="dxa" w:w="15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10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226</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35,813</w:t>
            </w:r>
          </w:p>
        </w:tc>
      </w:tr>
      <w:tr>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2026 YTD</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11</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bCs/>
                <w:sz w:val="20"/>
                <w:szCs w:val="20"/>
              </w:rPr>
              <w:t xml:space="preserve">17.0</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65</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8,685</w:t>
            </w:r>
          </w:p>
        </w:tc>
      </w:tr>
    </w:tbl>
    <w:p>
      <w:pPr>
        <w:spacing w:after="80"/>
      </w:pPr>
      <w:r>
        <w:t xml:space="preserve"/>
      </w:r>
    </w:p>
    <w:p>
      <w:pPr>
        <w:spacing w:after="160"/>
      </w:pPr>
      <w:r>
        <w:rPr>
          <w:rFonts w:ascii="Arial" w:cs="Arial" w:eastAsia="Arial" w:hAnsi="Arial"/>
          <w:sz w:val="24"/>
          <w:szCs w:val="24"/>
        </w:rPr>
        <w:t xml:space="preserve">The six-year trend in unit service hours reveals two distinct phases. From 2020 through 2022, hours remained relatively stable in the 1,300–1,530 range despite the disruptions of COVID-19. A sharp dip in 2023 to 1,089 hours coincided with unit closures and the period of lowest district membership. A strong recovery followed in 2024, reaching the six-year high of </w:t>
      </w:r>
      <w:r>
        <w:rPr>
          <w:rFonts w:ascii="Arial" w:cs="Arial" w:eastAsia="Arial" w:hAnsi="Arial"/>
          <w:b/>
          <w:bCs/>
          <w:sz w:val="24"/>
          <w:szCs w:val="24"/>
        </w:rPr>
        <w:t xml:space="preserve">1,659 hours</w:t>
      </w:r>
      <w:r>
        <w:rPr>
          <w:rFonts w:ascii="Arial" w:cs="Arial" w:eastAsia="Arial" w:hAnsi="Arial"/>
          <w:sz w:val="24"/>
          <w:szCs w:val="24"/>
        </w:rPr>
        <w:t xml:space="preserve">. The 2025 drop to 985 hours — the lowest full-year total in the dataset — is the most significant single-year decline and is closely correlated with both the reduction in active units and the membership softening documented across the district.</w:t>
      </w:r>
    </w:p>
    <w:p>
      <w:pPr>
        <w:spacing w:after="80"/>
      </w:pPr>
      <w:r>
        <w:t xml:space="preserve"/>
      </w:r>
    </w:p>
    <w:p>
      <w:pPr>
        <w:spacing w:after="160"/>
      </w:pPr>
      <w:r>
        <w:rPr>
          <w:rFonts w:ascii="Arial" w:cs="Arial" w:eastAsia="Arial" w:hAnsi="Arial"/>
          <w:sz w:val="24"/>
          <w:szCs w:val="24"/>
        </w:rPr>
        <w:t xml:space="preserve">The steady decline in </w:t>
      </w:r>
      <w:r>
        <w:rPr>
          <w:rFonts w:ascii="Arial" w:cs="Arial" w:eastAsia="Arial" w:hAnsi="Arial"/>
          <w:b/>
          <w:bCs/>
          <w:sz w:val="24"/>
          <w:szCs w:val="24"/>
        </w:rPr>
        <w:t xml:space="preserve">reporting units from 16 (2020) to 10 (2025)</w:t>
      </w:r>
      <w:r>
        <w:rPr>
          <w:rFonts w:ascii="Arial" w:cs="Arial" w:eastAsia="Arial" w:hAnsi="Arial"/>
          <w:sz w:val="24"/>
          <w:szCs w:val="24"/>
        </w:rPr>
        <w:t xml:space="preserve"> mirrors the unit closure trend. Each unit that closes removes not only its current service output but its future capacity as well. The 2026 year-to-date figure of just 17 hours from 2 units as of April is extremely low, though the full year will look significantly different as units complete spring and summer service projects.</w:t>
      </w:r>
    </w:p>
    <w:p>
      <w:pPr>
        <w:spacing w:after="80"/>
      </w:pPr>
      <w:r>
        <w:t xml:space="preserve"/>
      </w:r>
    </w:p>
    <w:p>
      <w:pPr>
        <w:pStyle w:val="Heading1"/>
      </w:pPr>
      <w:r>
        <w:rPr>
          <w:rFonts w:ascii="Arial" w:cs="Arial" w:eastAsia="Arial" w:hAnsi="Arial"/>
          <w:b/>
          <w:bCs/>
          <w:sz w:val="32"/>
          <w:szCs w:val="32"/>
        </w:rPr>
        <w:t xml:space="preserve">Unit-Level Service Hours by Year</w:t>
      </w:r>
    </w:p>
    <w:p>
      <w:pPr>
        <w:spacing w:after="160"/>
      </w:pPr>
      <w:r>
        <w:rPr>
          <w:rFonts w:ascii="Arial" w:cs="Arial" w:eastAsia="Arial" w:hAnsi="Arial"/>
          <w:sz w:val="24"/>
          <w:szCs w:val="24"/>
        </w:rPr>
        <w:t xml:space="preserve">The table below shows service hours reported by each unit across all six full program years. Green shading in the 2025 column indicates strong performance; orange indicates a significant decline from the prior year.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260"/>
        <w:gridCol w:w="1260"/>
        <w:gridCol w:w="1260"/>
        <w:gridCol w:w="1260"/>
        <w:gridCol w:w="1260"/>
        <w:gridCol w:w="1260"/>
      </w:tblGrid>
      <w:tr>
        <w:trPr>
          <w:tblHeader/>
        </w:trPr>
        <w:tc>
          <w:tcPr>
            <w:tcW w:type="dxa" w:w="18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Unit</w:t>
            </w:r>
          </w:p>
        </w:tc>
        <w:tc>
          <w:tcPr>
            <w:tcW w:type="dxa" w:w="12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2020</w:t>
            </w:r>
          </w:p>
        </w:tc>
        <w:tc>
          <w:tcPr>
            <w:tcW w:type="dxa" w:w="12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2021</w:t>
            </w:r>
          </w:p>
        </w:tc>
        <w:tc>
          <w:tcPr>
            <w:tcW w:type="dxa" w:w="12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2022</w:t>
            </w:r>
          </w:p>
        </w:tc>
        <w:tc>
          <w:tcPr>
            <w:tcW w:type="dxa" w:w="12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2023</w:t>
            </w:r>
          </w:p>
        </w:tc>
        <w:tc>
          <w:tcPr>
            <w:tcW w:type="dxa" w:w="12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2024</w:t>
            </w:r>
          </w:p>
        </w:tc>
        <w:tc>
          <w:tcPr>
            <w:tcW w:type="dxa" w:w="12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2025</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Pack 1168</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25.5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Pack 1262</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78</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Pack 1305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Pack 1313</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60</w:t>
            </w:r>
          </w:p>
        </w:tc>
        <w:tc>
          <w:tcPr>
            <w:tcW w:type="dxa" w:w="12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1</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Pack 1365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Pack 1396</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28</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1005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16</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61.5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94</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312.8</w:t>
            </w:r>
          </w:p>
        </w:tc>
        <w:tc>
          <w:tcPr>
            <w:tcW w:type="dxa" w:w="126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pPr>
              <w:jc w:val="center"/>
            </w:pPr>
            <w:r>
              <w:rPr>
                <w:rFonts w:ascii="Arial" w:cs="Arial" w:eastAsia="Arial" w:hAnsi="Arial"/>
                <w:sz w:val="20"/>
                <w:szCs w:val="20"/>
              </w:rPr>
              <w:t xml:space="preserve">552</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1031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147</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252.5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308</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1103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45.5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49</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108.8</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124</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77.5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188.3</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1168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36</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1280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243</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166</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395.5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38.5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44</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1305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341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227</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152</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9.5</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1305 (G)</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136</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215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227</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174.5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200.5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72.5</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1313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104.5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169</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53</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203</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35.8</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24</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1315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94</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69</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1365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209</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248</w:t>
            </w:r>
          </w:p>
        </w:tc>
        <w:tc>
          <w:tcPr>
            <w:tcW w:type="dxa" w:w="12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64.5</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1396 (B)</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36.5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180</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135.5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141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138</w:t>
            </w:r>
          </w:p>
        </w:tc>
        <w:tc>
          <w:tcPr>
            <w:tcW w:type="dxa" w:w="12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9103 (G)</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9191 (G)</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130</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9.3</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460.3</w:t>
            </w:r>
          </w:p>
        </w:tc>
        <w:tc>
          <w:tcPr>
            <w:tcW w:type="dxa" w:w="126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9280 (G)</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90.5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54.5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57.5</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r>
      <w:tr>
        <w:tc>
          <w:tcPr>
            <w:tcW w:type="dxa" w:w="1800"/>
            <w:tcBorders>
              <w:top w:val="single" w:color="CCCCCC" w:sz="1"/>
              <w:left w:val="single" w:color="CCCCCC" w:sz="1"/>
              <w:bottom w:val="single" w:color="CCCCCC" w:sz="1"/>
              <w:right w:val="single" w:color="CCCCCC" w:sz="1"/>
            </w:tcBorders>
            <w:shd w:fill="E0E0E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District Total</w:t>
            </w:r>
          </w:p>
        </w:tc>
        <w:tc>
          <w:tcPr>
            <w:tcW w:type="dxa" w:w="1260"/>
            <w:tcBorders>
              <w:top w:val="single" w:color="CCCCCC" w:sz="1"/>
              <w:left w:val="single" w:color="CCCCCC" w:sz="1"/>
              <w:bottom w:val="single" w:color="CCCCCC" w:sz="1"/>
              <w:right w:val="single" w:color="CCCCCC" w:sz="1"/>
            </w:tcBorders>
            <w:shd w:fill="E0E0E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1319</w:t>
            </w:r>
          </w:p>
        </w:tc>
        <w:tc>
          <w:tcPr>
            <w:tcW w:type="dxa" w:w="1260"/>
            <w:tcBorders>
              <w:top w:val="single" w:color="CCCCCC" w:sz="1"/>
              <w:left w:val="single" w:color="CCCCCC" w:sz="1"/>
              <w:bottom w:val="single" w:color="CCCCCC" w:sz="1"/>
              <w:right w:val="single" w:color="CCCCCC" w:sz="1"/>
            </w:tcBorders>
            <w:shd w:fill="E0E0E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1500</w:t>
            </w:r>
          </w:p>
        </w:tc>
        <w:tc>
          <w:tcPr>
            <w:tcW w:type="dxa" w:w="1260"/>
            <w:tcBorders>
              <w:top w:val="single" w:color="CCCCCC" w:sz="1"/>
              <w:left w:val="single" w:color="CCCCCC" w:sz="1"/>
              <w:bottom w:val="single" w:color="CCCCCC" w:sz="1"/>
              <w:right w:val="single" w:color="CCCCCC" w:sz="1"/>
            </w:tcBorders>
            <w:shd w:fill="E0E0E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1530.3</w:t>
            </w:r>
          </w:p>
        </w:tc>
        <w:tc>
          <w:tcPr>
            <w:tcW w:type="dxa" w:w="1260"/>
            <w:tcBorders>
              <w:top w:val="single" w:color="CCCCCC" w:sz="1"/>
              <w:left w:val="single" w:color="CCCCCC" w:sz="1"/>
              <w:bottom w:val="single" w:color="CCCCCC" w:sz="1"/>
              <w:right w:val="single" w:color="CCCCCC" w:sz="1"/>
            </w:tcBorders>
            <w:shd w:fill="E0E0E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1089.3</w:t>
            </w:r>
          </w:p>
        </w:tc>
        <w:tc>
          <w:tcPr>
            <w:tcW w:type="dxa" w:w="1260"/>
            <w:tcBorders>
              <w:top w:val="single" w:color="CCCCCC" w:sz="1"/>
              <w:left w:val="single" w:color="CCCCCC" w:sz="1"/>
              <w:bottom w:val="single" w:color="CCCCCC" w:sz="1"/>
              <w:right w:val="single" w:color="CCCCCC" w:sz="1"/>
            </w:tcBorders>
            <w:shd w:fill="E0E0E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1659.3</w:t>
            </w:r>
          </w:p>
        </w:tc>
        <w:tc>
          <w:tcPr>
            <w:tcW w:type="dxa" w:w="1260"/>
            <w:tcBorders>
              <w:top w:val="single" w:color="CCCCCC" w:sz="1"/>
              <w:left w:val="single" w:color="CCCCCC" w:sz="1"/>
              <w:bottom w:val="single" w:color="CCCCCC" w:sz="1"/>
              <w:right w:val="single" w:color="CCCCCC" w:sz="1"/>
            </w:tcBorders>
            <w:shd w:fill="E0E0E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984.9</w:t>
            </w:r>
          </w:p>
        </w:tc>
      </w:tr>
    </w:tbl>
    <w:p>
      <w:pPr>
        <w:spacing w:after="80"/>
      </w:pPr>
      <w:r>
        <w:t xml:space="preserve"/>
      </w:r>
    </w:p>
    <w:p>
      <w:pPr>
        <w:spacing w:after="160"/>
      </w:pPr>
      <w:r>
        <w:rPr>
          <w:rFonts w:ascii="Arial" w:cs="Arial" w:eastAsia="Arial" w:hAnsi="Arial"/>
          <w:i/>
          <w:iCs/>
          <w:sz w:val="24"/>
          <w:szCs w:val="24"/>
        </w:rPr>
        <w:t xml:space="preserve">Units showing no data in a given year either reported zero service hours through Internet Advancement or were inactive for that year. Dash (—) indicates no reported service.</w:t>
      </w:r>
    </w:p>
    <w:p>
      <w:pPr>
        <w:spacing w:after="80"/>
      </w:pPr>
      <w:r>
        <w:t xml:space="preserve"/>
      </w:r>
    </w:p>
    <w:p>
      <w:pPr>
        <w:pStyle w:val="Heading1"/>
      </w:pPr>
      <w:r>
        <w:rPr>
          <w:rFonts w:ascii="Arial" w:cs="Arial" w:eastAsia="Arial" w:hAnsi="Arial"/>
          <w:b/>
          <w:bCs/>
          <w:sz w:val="32"/>
          <w:szCs w:val="32"/>
        </w:rPr>
        <w:t xml:space="preserve">Service Performance: 2024 vs. 2025</w:t>
      </w:r>
    </w:p>
    <w:p>
      <w:pPr>
        <w:spacing w:after="160"/>
      </w:pPr>
      <w:r>
        <w:rPr>
          <w:rFonts w:ascii="Arial" w:cs="Arial" w:eastAsia="Arial" w:hAnsi="Arial"/>
          <w:sz w:val="24"/>
          <w:szCs w:val="24"/>
        </w:rPr>
        <w:t xml:space="preserve">The following table highlights the service trends for the district's primary contributing units, comparing the two most recent full program years side by side.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226"/>
        <w:gridCol w:w="1226"/>
        <w:gridCol w:w="1226"/>
        <w:gridCol w:w="1226"/>
        <w:gridCol w:w="1226"/>
        <w:gridCol w:w="1230"/>
      </w:tblGrid>
      <w:tr>
        <w:trPr>
          <w:tblHeader/>
        </w:trPr>
        <w:tc>
          <w:tcPr>
            <w:tcW w:type="dxa" w:w="20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Unit</w:t>
            </w:r>
          </w:p>
        </w:tc>
        <w:tc>
          <w:tcPr>
            <w:tcW w:type="dxa" w:w="1226"/>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Projects
2024</w:t>
            </w:r>
          </w:p>
        </w:tc>
        <w:tc>
          <w:tcPr>
            <w:tcW w:type="dxa" w:w="1226"/>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Hours
2024</w:t>
            </w:r>
          </w:p>
        </w:tc>
        <w:tc>
          <w:tcPr>
            <w:tcW w:type="dxa" w:w="1226"/>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Projects
2025</w:t>
            </w:r>
          </w:p>
        </w:tc>
        <w:tc>
          <w:tcPr>
            <w:tcW w:type="dxa" w:w="1226"/>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Hours
2025</w:t>
            </w:r>
          </w:p>
        </w:tc>
        <w:tc>
          <w:tcPr>
            <w:tcW w:type="dxa" w:w="1226"/>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Change
in Hours</w:t>
            </w:r>
          </w:p>
        </w:tc>
        <w:tc>
          <w:tcPr>
            <w:tcW w:type="dxa" w:w="123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vAlign w:val="center"/>
          </w:tcPr>
          <w:p>
            <w:pPr>
              <w:jc w:val="center"/>
            </w:pPr>
            <w:r>
              <w:rPr>
                <w:rFonts w:ascii="Arial" w:cs="Arial" w:eastAsia="Arial" w:hAnsi="Arial"/>
                <w:b/>
                <w:bCs/>
                <w:sz w:val="20"/>
                <w:szCs w:val="20"/>
              </w:rPr>
              <w:t xml:space="preserve">2024–25
Trend</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1005 (B)</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46</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312.8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130</w:t>
            </w:r>
          </w:p>
        </w:tc>
        <w:tc>
          <w:tcPr>
            <w:tcW w:type="dxa" w:w="1226"/>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pPr>
              <w:jc w:val="center"/>
            </w:pPr>
            <w:r>
              <w:rPr>
                <w:rFonts w:ascii="Arial" w:cs="Arial" w:eastAsia="Arial" w:hAnsi="Arial"/>
                <w:sz w:val="20"/>
                <w:szCs w:val="20"/>
              </w:rPr>
              <w:t xml:space="preserve">552</w:t>
            </w:r>
          </w:p>
        </w:tc>
        <w:tc>
          <w:tcPr>
            <w:tcW w:type="dxa" w:w="1226"/>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pPr>
              <w:jc w:val="center"/>
            </w:pPr>
            <w:r>
              <w:rPr>
                <w:rFonts w:ascii="Arial" w:cs="Arial" w:eastAsia="Arial" w:hAnsi="Arial"/>
                <w:sz w:val="20"/>
                <w:szCs w:val="20"/>
              </w:rPr>
              <w:t xml:space="preserve">+239.3</w:t>
            </w:r>
          </w:p>
        </w:tc>
        <w:tc>
          <w:tcPr>
            <w:tcW w:type="dxa" w:w="123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pPr>
              <w:jc w:val="center"/>
            </w:pPr>
            <w:r>
              <w:rPr>
                <w:rFonts w:ascii="Arial" w:cs="Arial" w:eastAsia="Arial" w:hAnsi="Arial"/>
                <w:sz w:val="20"/>
                <w:szCs w:val="20"/>
              </w:rPr>
              <w:t xml:space="preserve">↑ Growth</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1365 (B)</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88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248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19</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64.5</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-183.5</w:t>
            </w:r>
          </w:p>
        </w:tc>
        <w:tc>
          <w:tcPr>
            <w:tcW w:type="dxa" w:w="123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 Decline</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1305 (G)</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69</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200.5</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37</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72.5</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-128</w:t>
            </w:r>
          </w:p>
        </w:tc>
        <w:tc>
          <w:tcPr>
            <w:tcW w:type="dxa" w:w="123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 Decline</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9191 (G)</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460.3</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-460.3</w:t>
            </w:r>
          </w:p>
        </w:tc>
        <w:tc>
          <w:tcPr>
            <w:tcW w:type="dxa" w:w="123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 Decline</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1103 (B)</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41</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77.5</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80</w:t>
            </w:r>
          </w:p>
        </w:tc>
        <w:tc>
          <w:tcPr>
            <w:tcW w:type="dxa" w:w="1226"/>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pPr>
              <w:jc w:val="center"/>
            </w:pPr>
            <w:r>
              <w:rPr>
                <w:rFonts w:ascii="Arial" w:cs="Arial" w:eastAsia="Arial" w:hAnsi="Arial"/>
                <w:sz w:val="20"/>
                <w:szCs w:val="20"/>
              </w:rPr>
              <w:t xml:space="preserve">188.3</w:t>
            </w:r>
          </w:p>
        </w:tc>
        <w:tc>
          <w:tcPr>
            <w:tcW w:type="dxa" w:w="1226"/>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pPr>
              <w:jc w:val="center"/>
            </w:pPr>
            <w:r>
              <w:rPr>
                <w:rFonts w:ascii="Arial" w:cs="Arial" w:eastAsia="Arial" w:hAnsi="Arial"/>
                <w:sz w:val="20"/>
                <w:szCs w:val="20"/>
              </w:rPr>
              <w:t xml:space="preserve">+110.8</w:t>
            </w:r>
          </w:p>
        </w:tc>
        <w:tc>
          <w:tcPr>
            <w:tcW w:type="dxa" w:w="1230"/>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pPr>
              <w:jc w:val="center"/>
            </w:pPr>
            <w:r>
              <w:rPr>
                <w:rFonts w:ascii="Arial" w:cs="Arial" w:eastAsia="Arial" w:hAnsi="Arial"/>
                <w:sz w:val="20"/>
                <w:szCs w:val="20"/>
              </w:rPr>
              <w:t xml:space="preserve">↑ Growth</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1396 (B)</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138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-138</w:t>
            </w:r>
          </w:p>
        </w:tc>
        <w:tc>
          <w:tcPr>
            <w:tcW w:type="dxa" w:w="123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 Decline</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1315 (B)</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40</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71</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69</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w:t>
            </w:r>
          </w:p>
        </w:tc>
        <w:tc>
          <w:tcPr>
            <w:tcW w:type="dxa" w:w="12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 Stable</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1313 (B)</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11</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35.8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24</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-11.8</w:t>
            </w:r>
          </w:p>
        </w:tc>
        <w:tc>
          <w:tcPr>
            <w:tcW w:type="dxa" w:w="12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 Stable</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Pack 1313</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37</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60</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1</w:t>
            </w:r>
          </w:p>
        </w:tc>
        <w:tc>
          <w:tcPr>
            <w:tcW w:type="dxa" w:w="1226"/>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-59</w:t>
            </w:r>
          </w:p>
        </w:tc>
        <w:tc>
          <w:tcPr>
            <w:tcW w:type="dxa" w:w="1230"/>
            <w:tcBorders>
              <w:top w:val="single" w:color="CCCCCC" w:sz="1"/>
              <w:left w:val="single" w:color="CCCCCC" w:sz="1"/>
              <w:bottom w:val="single" w:color="CCCCCC" w:sz="1"/>
              <w:right w:val="single" w:color="CCCCCC" w:sz="1"/>
            </w:tcBorders>
            <w:shd w:fill="FFF3E0" w:val="clear"/>
            <w:tcMar>
              <w:top w:type="dxa" w:w="80"/>
              <w:left w:type="dxa" w:w="120"/>
              <w:bottom w:type="dxa" w:w="80"/>
              <w:right w:type="dxa" w:w="120"/>
            </w:tcMar>
          </w:tcPr>
          <w:p>
            <w:pPr>
              <w:jc w:val="center"/>
            </w:pPr>
            <w:r>
              <w:rPr>
                <w:rFonts w:ascii="Arial" w:cs="Arial" w:eastAsia="Arial" w:hAnsi="Arial"/>
                <w:sz w:val="20"/>
                <w:szCs w:val="20"/>
              </w:rPr>
              <w:t xml:space="preserve">↓ Decline</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sz w:val="20"/>
                <w:szCs w:val="20"/>
              </w:rPr>
              <w:t xml:space="preserve">Troop 1305 (B)</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4</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9.5</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+9.5</w:t>
            </w:r>
          </w:p>
        </w:tc>
        <w:tc>
          <w:tcPr>
            <w:tcW w:type="dxa" w:w="12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sz w:val="20"/>
                <w:szCs w:val="20"/>
              </w:rPr>
              <w:t xml:space="preserve">≈ Stable</w:t>
            </w:r>
          </w:p>
        </w:tc>
      </w:tr>
    </w:tbl>
    <w:p>
      <w:pPr>
        <w:spacing w:after="80"/>
      </w:pPr>
      <w:r>
        <w:t xml:space="preserve"/>
      </w:r>
    </w:p>
    <w:p>
      <w:pPr>
        <w:spacing w:after="160"/>
      </w:pPr>
      <w:r>
        <w:rPr>
          <w:rFonts w:ascii="Arial" w:cs="Arial" w:eastAsia="Arial" w:hAnsi="Arial"/>
          <w:i/>
          <w:iCs/>
          <w:sz w:val="24"/>
          <w:szCs w:val="24"/>
        </w:rPr>
        <w:t xml:space="preserve">Change in hours is calculated as 2025 minus 2024. Growth/Decline threshold is ±50 hours. Units with confirmed closure are included as their 2025 figures reflect final-year output.</w:t>
      </w:r>
    </w:p>
    <w:p>
      <w:pPr>
        <w:spacing w:after="80"/>
      </w:pPr>
      <w:r>
        <w:t xml:space="preserve"/>
      </w:r>
    </w:p>
    <w:p>
      <w:pPr>
        <w:spacing w:after="160"/>
      </w:pPr>
      <w:r>
        <w:rPr>
          <w:rFonts w:ascii="Arial" w:cs="Arial" w:eastAsia="Arial" w:hAnsi="Arial"/>
          <w:b/>
          <w:bCs/>
          <w:sz w:val="24"/>
          <w:szCs w:val="24"/>
        </w:rPr>
        <w:t xml:space="preserve">Troop 1005</w:t>
      </w:r>
      <w:r>
        <w:rPr>
          <w:rFonts w:ascii="Arial" w:cs="Arial" w:eastAsia="Arial" w:hAnsi="Arial"/>
          <w:sz w:val="24"/>
          <w:szCs w:val="24"/>
        </w:rPr>
        <w:t xml:space="preserve"> is the clear standout, more than doubling its already-strong 2024 output (312.75 hours) to reach 552 hours in 2025 — an increase of 239 hours. The breadth of their service activity (130 projects across multiple categories including disaster relief, environmental conservation, landscape work, and community programs) suggests a troop culture where service is genuinely embedded in the program, not treated as an obligation.</w:t>
      </w:r>
    </w:p>
    <w:p>
      <w:pPr>
        <w:spacing w:after="80"/>
      </w:pPr>
      <w:r>
        <w:t xml:space="preserve"/>
      </w:r>
    </w:p>
    <w:p>
      <w:pPr>
        <w:spacing w:after="160"/>
      </w:pPr>
      <w:r>
        <w:rPr>
          <w:rFonts w:ascii="Arial" w:cs="Arial" w:eastAsia="Arial" w:hAnsi="Arial"/>
          <w:sz w:val="24"/>
          <w:szCs w:val="24"/>
        </w:rPr>
        <w:t xml:space="preserve">At the other end of the spectrum, </w:t>
      </w:r>
      <w:r>
        <w:rPr>
          <w:rFonts w:ascii="Arial" w:cs="Arial" w:eastAsia="Arial" w:hAnsi="Arial"/>
          <w:b/>
          <w:bCs/>
          <w:sz w:val="24"/>
          <w:szCs w:val="24"/>
        </w:rPr>
        <w:t xml:space="preserve">Troop 9191 (Girls)</w:t>
      </w:r>
      <w:r>
        <w:rPr>
          <w:rFonts w:ascii="Arial" w:cs="Arial" w:eastAsia="Arial" w:hAnsi="Arial"/>
          <w:sz w:val="24"/>
          <w:szCs w:val="24"/>
        </w:rPr>
        <w:t xml:space="preserve"> logged an anomalous 460.25 hours in 2024 — the single largest unit-year figure in the entire dataset — driven by what appears to be a large consolidated project entry. The unit reported zero hours in 2025, consistent with its confirmed closure. </w:t>
      </w:r>
      <w:r>
        <w:rPr>
          <w:rFonts w:ascii="Arial" w:cs="Arial" w:eastAsia="Arial" w:hAnsi="Arial"/>
          <w:b/>
          <w:bCs/>
          <w:sz w:val="24"/>
          <w:szCs w:val="24"/>
        </w:rPr>
        <w:t xml:space="preserve">Troop 1396</w:t>
      </w:r>
      <w:r>
        <w:rPr>
          <w:rFonts w:ascii="Arial" w:cs="Arial" w:eastAsia="Arial" w:hAnsi="Arial"/>
          <w:sz w:val="24"/>
          <w:szCs w:val="24"/>
        </w:rPr>
        <w:t xml:space="preserve"> had been a consistent contributor through 2024 (138 hours) but recorded no service in 2025; given that the unit remains active, this warrants follow-up. </w:t>
      </w:r>
      <w:r>
        <w:rPr>
          <w:rFonts w:ascii="Arial" w:cs="Arial" w:eastAsia="Arial" w:hAnsi="Arial"/>
          <w:b/>
          <w:bCs/>
          <w:sz w:val="24"/>
          <w:szCs w:val="24"/>
        </w:rPr>
        <w:t xml:space="preserve">Troop 1313</w:t>
      </w:r>
      <w:r>
        <w:rPr>
          <w:rFonts w:ascii="Arial" w:cs="Arial" w:eastAsia="Arial" w:hAnsi="Arial"/>
          <w:sz w:val="24"/>
          <w:szCs w:val="24"/>
        </w:rPr>
        <w:t xml:space="preserve">, the district's largest troop, continues to underperform on service relative to its enrollment size, dropping from 35.75 hours in 2024 to 24 in 2025.</w:t>
      </w:r>
    </w:p>
    <w:p>
      <w:pPr>
        <w:spacing w:after="80"/>
      </w:pPr>
      <w:r>
        <w:t xml:space="preserve"/>
      </w:r>
    </w:p>
    <w:p>
      <w:pPr>
        <w:pStyle w:val="Heading1"/>
      </w:pPr>
      <w:r>
        <w:rPr>
          <w:rFonts w:ascii="Arial" w:cs="Arial" w:eastAsia="Arial" w:hAnsi="Arial"/>
          <w:b/>
          <w:bCs/>
          <w:sz w:val="32"/>
          <w:szCs w:val="32"/>
        </w:rPr>
        <w:t xml:space="preserve">Unit Service Profiles</w:t>
      </w:r>
    </w:p>
    <w:p>
      <w:pPr>
        <w:pStyle w:val="Heading2"/>
      </w:pPr>
      <w:r>
        <w:rPr>
          <w:rFonts w:ascii="Arial" w:cs="Arial" w:eastAsia="Arial" w:hAnsi="Arial"/>
          <w:b/>
          <w:bCs/>
          <w:sz w:val="28"/>
          <w:szCs w:val="28"/>
        </w:rPr>
        <w:t xml:space="preserve">Consistent High Performers</w:t>
      </w:r>
    </w:p>
    <w:p>
      <w:pPr>
        <w:pStyle w:val="ListParagraph"/>
        <w:numPr>
          <w:ilvl w:val="0"/>
          <w:numId w:val="2"/>
        </w:numPr>
        <w:spacing w:after="80"/>
      </w:pPr>
      <w:r>
        <w:rPr>
          <w:rFonts w:ascii="Arial" w:cs="Arial" w:eastAsia="Arial" w:hAnsi="Arial"/>
          <w:b/>
          <w:bCs/>
          <w:sz w:val="24"/>
          <w:szCs w:val="24"/>
        </w:rPr>
        <w:t xml:space="preserve">Troop 1005 (Boys):</w:t>
      </w:r>
      <w:r>
        <w:rPr>
          <w:rFonts w:ascii="Arial" w:cs="Arial" w:eastAsia="Arial" w:hAnsi="Arial"/>
          <w:sz w:val="24"/>
          <w:szCs w:val="24"/>
        </w:rPr>
        <w:t xml:space="preserve"> Transformed from minimal service reporter (16 hours in 2021) to the district’s undisputed service leader (552 hours in 2025). This growth trajectory is exceptional and the unit’s program model deserves study and replication across the district.</w:t>
      </w:r>
    </w:p>
    <w:p>
      <w:pPr>
        <w:pStyle w:val="ListParagraph"/>
        <w:numPr>
          <w:ilvl w:val="0"/>
          <w:numId w:val="2"/>
        </w:numPr>
        <w:spacing w:after="80"/>
      </w:pPr>
      <w:r>
        <w:rPr>
          <w:rFonts w:ascii="Arial" w:cs="Arial" w:eastAsia="Arial" w:hAnsi="Arial"/>
          <w:b/>
          <w:bCs/>
          <w:sz w:val="24"/>
          <w:szCs w:val="24"/>
        </w:rPr>
        <w:t xml:space="preserve">Troop 1305 (Girls):</w:t>
      </w:r>
      <w:r>
        <w:rPr>
          <w:rFonts w:ascii="Arial" w:cs="Arial" w:eastAsia="Arial" w:hAnsi="Arial"/>
          <w:sz w:val="24"/>
          <w:szCs w:val="24"/>
        </w:rPr>
        <w:t xml:space="preserve"> The district’s most consistent service contributor across all six years: 136 → 215 → 227 → 174.5 → 200.5 → 72.5 hours. The 2025 decline from 200.5 to 72.5 hours warrants monitoring but does not yet break the unit’s overall pattern of meaningful service. Heavy involvement in Food/Shelter Insecurity and Environmental categories.</w:t>
      </w:r>
    </w:p>
    <w:p>
      <w:pPr>
        <w:pStyle w:val="ListParagraph"/>
        <w:numPr>
          <w:ilvl w:val="0"/>
          <w:numId w:val="2"/>
        </w:numPr>
        <w:spacing w:after="80"/>
      </w:pPr>
      <w:r>
        <w:rPr>
          <w:rFonts w:ascii="Arial" w:cs="Arial" w:eastAsia="Arial" w:hAnsi="Arial"/>
          <w:b/>
          <w:bCs/>
          <w:sz w:val="24"/>
          <w:szCs w:val="24"/>
        </w:rPr>
        <w:t xml:space="preserve">Troop 1365 (Boys):</w:t>
      </w:r>
      <w:r>
        <w:rPr>
          <w:rFonts w:ascii="Arial" w:cs="Arial" w:eastAsia="Arial" w:hAnsi="Arial"/>
          <w:sz w:val="24"/>
          <w:szCs w:val="24"/>
        </w:rPr>
        <w:t xml:space="preserve"> Emerged as a strong service unit from 2023 onward (209 hours in 2023, 248 in 2024), driven largely by Landscape/Beautification and Healthy Living projects. The 2025 decline to 64.5 hours should be discussed with the Scoutmaster; this may reflect reporting lag rather than reduced activity.</w:t>
      </w:r>
    </w:p>
    <w:p>
      <w:pPr>
        <w:pStyle w:val="ListParagraph"/>
        <w:numPr>
          <w:ilvl w:val="0"/>
          <w:numId w:val="2"/>
        </w:numPr>
        <w:spacing w:after="80"/>
      </w:pPr>
      <w:r>
        <w:rPr>
          <w:rFonts w:ascii="Arial" w:cs="Arial" w:eastAsia="Arial" w:hAnsi="Arial"/>
          <w:b/>
          <w:bCs/>
          <w:sz w:val="24"/>
          <w:szCs w:val="24"/>
        </w:rPr>
        <w:t xml:space="preserve">Troop 1103 (Boys):</w:t>
      </w:r>
      <w:r>
        <w:rPr>
          <w:rFonts w:ascii="Arial" w:cs="Arial" w:eastAsia="Arial" w:hAnsi="Arial"/>
          <w:sz w:val="24"/>
          <w:szCs w:val="24"/>
        </w:rPr>
        <w:t xml:space="preserve"> Consistently reported service across all six years through its confirmed closure. Logged 188.35 hours in its final year (2025) — a meaningful final contribution. Its closure removes a historically reliable service unit from the district.</w:t>
      </w:r>
    </w:p>
    <w:p>
      <w:pPr>
        <w:spacing w:after="80"/>
      </w:pPr>
      <w:r>
        <w:t xml:space="preserve"/>
      </w:r>
    </w:p>
    <w:p>
      <w:pPr>
        <w:pStyle w:val="Heading2"/>
      </w:pPr>
      <w:r>
        <w:rPr>
          <w:rFonts w:ascii="Arial" w:cs="Arial" w:eastAsia="Arial" w:hAnsi="Arial"/>
          <w:b/>
          <w:bCs/>
          <w:sz w:val="28"/>
          <w:szCs w:val="28"/>
        </w:rPr>
        <w:t xml:space="preserve">Units of Concern — Service Decline</w:t>
      </w:r>
    </w:p>
    <w:p>
      <w:pPr>
        <w:pStyle w:val="ListParagraph"/>
        <w:numPr>
          <w:ilvl w:val="0"/>
          <w:numId w:val="2"/>
        </w:numPr>
        <w:spacing w:after="80"/>
      </w:pPr>
      <w:r>
        <w:rPr>
          <w:rFonts w:ascii="Arial" w:cs="Arial" w:eastAsia="Arial" w:hAnsi="Arial"/>
          <w:b/>
          <w:bCs/>
          <w:sz w:val="24"/>
          <w:szCs w:val="24"/>
        </w:rPr>
        <w:t xml:space="preserve">Troop 1280 (Boys):</w:t>
      </w:r>
      <w:r>
        <w:rPr>
          <w:rFonts w:ascii="Arial" w:cs="Arial" w:eastAsia="Arial" w:hAnsi="Arial"/>
          <w:sz w:val="24"/>
          <w:szCs w:val="24"/>
        </w:rPr>
        <w:t xml:space="preserve"> The most dramatic multi-year decline in the dataset. Reported 243 hours in 2020, rose to 395.5 hours in 2022, then collapsed to 38.5 (2023), 44 (2024), and just 3 hours in 2025. The unit remains active with enrolled youth, suggesting a near-complete withdrawal from reported service activity.</w:t>
      </w:r>
    </w:p>
    <w:p>
      <w:pPr>
        <w:pStyle w:val="ListParagraph"/>
        <w:numPr>
          <w:ilvl w:val="0"/>
          <w:numId w:val="2"/>
        </w:numPr>
        <w:spacing w:after="80"/>
      </w:pPr>
      <w:r>
        <w:rPr>
          <w:rFonts w:ascii="Arial" w:cs="Arial" w:eastAsia="Arial" w:hAnsi="Arial"/>
          <w:b/>
          <w:bCs/>
          <w:sz w:val="24"/>
          <w:szCs w:val="24"/>
        </w:rPr>
        <w:t xml:space="preserve">Troop 1305 (Boys):</w:t>
      </w:r>
      <w:r>
        <w:rPr>
          <w:rFonts w:ascii="Arial" w:cs="Arial" w:eastAsia="Arial" w:hAnsi="Arial"/>
          <w:sz w:val="24"/>
          <w:szCs w:val="24"/>
        </w:rPr>
        <w:t xml:space="preserve"> Reported 341 hours in 2020 and 227 in 2021, then effectively stopped reporting service. Logged just 9.5 hours in 2025 despite being one of the district’s most active troops for advancement and membership. This is a significant gap between unit capacity and reported service output.</w:t>
      </w:r>
    </w:p>
    <w:p>
      <w:pPr>
        <w:pStyle w:val="ListParagraph"/>
        <w:numPr>
          <w:ilvl w:val="0"/>
          <w:numId w:val="2"/>
        </w:numPr>
        <w:spacing w:after="80"/>
      </w:pPr>
      <w:r>
        <w:rPr>
          <w:rFonts w:ascii="Arial" w:cs="Arial" w:eastAsia="Arial" w:hAnsi="Arial"/>
          <w:b/>
          <w:bCs/>
          <w:sz w:val="24"/>
          <w:szCs w:val="24"/>
        </w:rPr>
        <w:t xml:space="preserve">Troop 1313 (Boys):</w:t>
      </w:r>
      <w:r>
        <w:rPr>
          <w:rFonts w:ascii="Arial" w:cs="Arial" w:eastAsia="Arial" w:hAnsi="Arial"/>
          <w:sz w:val="24"/>
          <w:szCs w:val="24"/>
        </w:rPr>
        <w:t xml:space="preserve"> As the district’s largest troop, its declining service hours (203 in 2023, 35.75 in 2024, 24 in 2025) are disproportionate to its enrollment of 31–43 Scouts. At the current pace, Troop 1313 is contributing approximately one service hour per Scout per year.</w:t>
      </w:r>
    </w:p>
    <w:p>
      <w:pPr>
        <w:pStyle w:val="ListParagraph"/>
        <w:numPr>
          <w:ilvl w:val="0"/>
          <w:numId w:val="2"/>
        </w:numPr>
        <w:spacing w:after="80"/>
      </w:pPr>
      <w:r>
        <w:rPr>
          <w:rFonts w:ascii="Arial" w:cs="Arial" w:eastAsia="Arial" w:hAnsi="Arial"/>
          <w:b/>
          <w:bCs/>
          <w:sz w:val="24"/>
          <w:szCs w:val="24"/>
        </w:rPr>
        <w:t xml:space="preserve">Troop 1396 (Boys):</w:t>
      </w:r>
      <w:r>
        <w:rPr>
          <w:rFonts w:ascii="Arial" w:cs="Arial" w:eastAsia="Arial" w:hAnsi="Arial"/>
          <w:sz w:val="24"/>
          <w:szCs w:val="24"/>
        </w:rPr>
        <w:t xml:space="preserve"> Was a reliable reporter through 2024 (141 in 2023, 138 in 2024) but recorded zero hours in 2025 despite being an active troop. Likely a reporting gap rather than zero service; unit should be contacted to ensure 2025 service is entered in Internet Advancement.</w:t>
      </w:r>
    </w:p>
    <w:p>
      <w:pPr>
        <w:spacing w:after="80"/>
      </w:pPr>
      <w:r>
        <w:t xml:space="preserve"/>
      </w:r>
    </w:p>
    <w:p>
      <w:pPr>
        <w:pStyle w:val="Heading2"/>
      </w:pPr>
      <w:r>
        <w:rPr>
          <w:rFonts w:ascii="Arial" w:cs="Arial" w:eastAsia="Arial" w:hAnsi="Arial"/>
          <w:b/>
          <w:bCs/>
          <w:sz w:val="28"/>
          <w:szCs w:val="28"/>
        </w:rPr>
        <w:t xml:space="preserve">Units No Longer Active</w:t>
      </w:r>
    </w:p>
    <w:p>
      <w:pPr>
        <w:pStyle w:val="ListParagraph"/>
        <w:numPr>
          <w:ilvl w:val="0"/>
          <w:numId w:val="2"/>
        </w:numPr>
        <w:spacing w:after="80"/>
      </w:pPr>
      <w:r>
        <w:rPr>
          <w:rFonts w:ascii="Arial" w:cs="Arial" w:eastAsia="Arial" w:hAnsi="Arial"/>
          <w:b/>
          <w:bCs/>
          <w:sz w:val="24"/>
          <w:szCs w:val="24"/>
        </w:rPr>
        <w:t xml:space="preserve">Troop 1031 (Boys):</w:t>
      </w:r>
      <w:r>
        <w:rPr>
          <w:rFonts w:ascii="Arial" w:cs="Arial" w:eastAsia="Arial" w:hAnsi="Arial"/>
          <w:sz w:val="24"/>
          <w:szCs w:val="24"/>
        </w:rPr>
        <w:t xml:space="preserve"> Was the district’s top service reporter in 2021–2022 (252.5 and 308 hours respectively). No service recorded after 2022, coinciding with the unit’s apparent dissolution. A significant historical contributor whose absence is felt in the totals.</w:t>
      </w:r>
    </w:p>
    <w:p>
      <w:pPr>
        <w:pStyle w:val="ListParagraph"/>
        <w:numPr>
          <w:ilvl w:val="0"/>
          <w:numId w:val="2"/>
        </w:numPr>
        <w:spacing w:after="80"/>
      </w:pPr>
      <w:r>
        <w:rPr>
          <w:rFonts w:ascii="Arial" w:cs="Arial" w:eastAsia="Arial" w:hAnsi="Arial"/>
          <w:b/>
          <w:bCs/>
          <w:sz w:val="24"/>
          <w:szCs w:val="24"/>
        </w:rPr>
        <w:t xml:space="preserve">Troop 9191 (Girls):</w:t>
      </w:r>
      <w:r>
        <w:rPr>
          <w:rFonts w:ascii="Arial" w:cs="Arial" w:eastAsia="Arial" w:hAnsi="Arial"/>
          <w:sz w:val="24"/>
          <w:szCs w:val="24"/>
        </w:rPr>
        <w:t xml:space="preserve"> Reported the single highest unit-year total in the dataset (460.25 hours in 2024) before its confirmed closure in 2025–2026. Also a consistent earlier contributor (130 hours in 2021). Its closure is a substantial loss to district service capacity.</w:t>
      </w:r>
    </w:p>
    <w:p>
      <w:pPr>
        <w:pStyle w:val="ListParagraph"/>
        <w:numPr>
          <w:ilvl w:val="0"/>
          <w:numId w:val="2"/>
        </w:numPr>
        <w:spacing w:after="80"/>
      </w:pPr>
      <w:r>
        <w:rPr>
          <w:rFonts w:ascii="Arial" w:cs="Arial" w:eastAsia="Arial" w:hAnsi="Arial"/>
          <w:b/>
          <w:bCs/>
          <w:sz w:val="24"/>
          <w:szCs w:val="24"/>
        </w:rPr>
        <w:t xml:space="preserve">Troop 9280 (Girls):</w:t>
      </w:r>
      <w:r>
        <w:rPr>
          <w:rFonts w:ascii="Arial" w:cs="Arial" w:eastAsia="Arial" w:hAnsi="Arial"/>
          <w:sz w:val="24"/>
          <w:szCs w:val="24"/>
        </w:rPr>
        <w:t xml:space="preserve"> Contributed meaningfully in earlier years (90.5 hours in 2020, 54.5 in 2021) but had declined significantly before its confirmed closure. Three units in the Girls’ Scouts BSA program (9103, 9191, 9280) have now closed, representing a complete elimination of girls’ troop-level service reporting.</w:t>
      </w:r>
    </w:p>
    <w:p>
      <w:pPr>
        <w:spacing w:after="80"/>
      </w:pPr>
      <w:r>
        <w:t xml:space="preserve"/>
      </w:r>
    </w:p>
    <w:p>
      <w:pPr>
        <w:pStyle w:val="Heading1"/>
      </w:pPr>
      <w:r>
        <w:rPr>
          <w:rFonts w:ascii="Arial" w:cs="Arial" w:eastAsia="Arial" w:hAnsi="Arial"/>
          <w:b/>
          <w:bCs/>
          <w:sz w:val="32"/>
          <w:szCs w:val="32"/>
        </w:rPr>
        <w:t xml:space="preserve">Service Categories</w:t>
      </w:r>
    </w:p>
    <w:p>
      <w:pPr>
        <w:spacing w:after="160"/>
      </w:pPr>
      <w:r>
        <w:rPr>
          <w:rFonts w:ascii="Arial" w:cs="Arial" w:eastAsia="Arial" w:hAnsi="Arial"/>
          <w:sz w:val="24"/>
          <w:szCs w:val="24"/>
        </w:rPr>
        <w:t xml:space="preserve">Service projects reported by district units span a range of community impact areas. Based on the six-year dataset, the following patterns emerge by category:</w:t>
      </w:r>
    </w:p>
    <w:p>
      <w:pPr>
        <w:spacing w:after="80"/>
      </w:pPr>
      <w:r>
        <w:t xml:space="preserve"/>
      </w:r>
    </w:p>
    <w:p>
      <w:pPr>
        <w:pStyle w:val="ListParagraph"/>
        <w:numPr>
          <w:ilvl w:val="0"/>
          <w:numId w:val="2"/>
        </w:numPr>
        <w:spacing w:after="80"/>
      </w:pPr>
      <w:r>
        <w:rPr>
          <w:rFonts w:ascii="Arial" w:cs="Arial" w:eastAsia="Arial" w:hAnsi="Arial"/>
          <w:b/>
          <w:bCs/>
          <w:sz w:val="24"/>
          <w:szCs w:val="24"/>
        </w:rPr>
        <w:t xml:space="preserve">Other/Community:</w:t>
      </w:r>
      <w:r>
        <w:rPr>
          <w:rFonts w:ascii="Arial" w:cs="Arial" w:eastAsia="Arial" w:hAnsi="Arial"/>
          <w:sz w:val="24"/>
          <w:szCs w:val="24"/>
        </w:rPr>
        <w:t xml:space="preserve"> Consistently the largest category by volume, accounting for the majority of reported projects and hours in most years. Many units default to this category when reporting projects that span multiple areas or do not fit the more specific categories, which somewhat limits analytical precision.</w:t>
      </w:r>
    </w:p>
    <w:p>
      <w:pPr>
        <w:pStyle w:val="ListParagraph"/>
        <w:numPr>
          <w:ilvl w:val="0"/>
          <w:numId w:val="2"/>
        </w:numPr>
        <w:spacing w:after="80"/>
      </w:pPr>
      <w:r>
        <w:rPr>
          <w:rFonts w:ascii="Arial" w:cs="Arial" w:eastAsia="Arial" w:hAnsi="Arial"/>
          <w:b/>
          <w:bCs/>
          <w:sz w:val="24"/>
          <w:szCs w:val="24"/>
        </w:rPr>
        <w:t xml:space="preserve">Environmental / Conservation:</w:t>
      </w:r>
      <w:r>
        <w:rPr>
          <w:rFonts w:ascii="Arial" w:cs="Arial" w:eastAsia="Arial" w:hAnsi="Arial"/>
          <w:sz w:val="24"/>
          <w:szCs w:val="24"/>
        </w:rPr>
        <w:t xml:space="preserve"> A consistently strong category across the district. Troops 1031, 1280, and 1365 have been particularly active in this area. Reflects well on the district’s alignment with Leave No Trace and stewardship values.</w:t>
      </w:r>
    </w:p>
    <w:p>
      <w:pPr>
        <w:pStyle w:val="ListParagraph"/>
        <w:numPr>
          <w:ilvl w:val="0"/>
          <w:numId w:val="2"/>
        </w:numPr>
        <w:spacing w:after="80"/>
      </w:pPr>
      <w:r>
        <w:rPr>
          <w:rFonts w:ascii="Arial" w:cs="Arial" w:eastAsia="Arial" w:hAnsi="Arial"/>
          <w:b/>
          <w:bCs/>
          <w:sz w:val="24"/>
          <w:szCs w:val="24"/>
        </w:rPr>
        <w:t xml:space="preserve">Food / Shelter Insecurity:</w:t>
      </w:r>
      <w:r>
        <w:rPr>
          <w:rFonts w:ascii="Arial" w:cs="Arial" w:eastAsia="Arial" w:hAnsi="Arial"/>
          <w:sz w:val="24"/>
          <w:szCs w:val="24"/>
        </w:rPr>
        <w:t xml:space="preserve"> Primarily driven by Troops 1305 (Boys and Girls) and 1031 in earlier years. As food insecurity remains a prominent community need, this category represents strong alignment with visible community impact.</w:t>
      </w:r>
    </w:p>
    <w:p>
      <w:pPr>
        <w:pStyle w:val="ListParagraph"/>
        <w:numPr>
          <w:ilvl w:val="0"/>
          <w:numId w:val="2"/>
        </w:numPr>
        <w:spacing w:after="80"/>
      </w:pPr>
      <w:r>
        <w:rPr>
          <w:rFonts w:ascii="Arial" w:cs="Arial" w:eastAsia="Arial" w:hAnsi="Arial"/>
          <w:b/>
          <w:bCs/>
          <w:sz w:val="24"/>
          <w:szCs w:val="24"/>
        </w:rPr>
        <w:t xml:space="preserve">Children / Education:</w:t>
      </w:r>
      <w:r>
        <w:rPr>
          <w:rFonts w:ascii="Arial" w:cs="Arial" w:eastAsia="Arial" w:hAnsi="Arial"/>
          <w:sz w:val="24"/>
          <w:szCs w:val="24"/>
        </w:rPr>
        <w:t xml:space="preserve"> Troop 1005 and Troop 1313 have been the primary contributors, particularly in 2023–2025. Growth in this category correlates with Troop 1005’s overall service surge.</w:t>
      </w:r>
    </w:p>
    <w:p>
      <w:pPr>
        <w:pStyle w:val="ListParagraph"/>
        <w:numPr>
          <w:ilvl w:val="0"/>
          <w:numId w:val="2"/>
        </w:numPr>
        <w:spacing w:after="80"/>
      </w:pPr>
      <w:r>
        <w:rPr>
          <w:rFonts w:ascii="Arial" w:cs="Arial" w:eastAsia="Arial" w:hAnsi="Arial"/>
          <w:b/>
          <w:bCs/>
          <w:sz w:val="24"/>
          <w:szCs w:val="24"/>
        </w:rPr>
        <w:t xml:space="preserve">Landscape / Beautification:</w:t>
      </w:r>
      <w:r>
        <w:rPr>
          <w:rFonts w:ascii="Arial" w:cs="Arial" w:eastAsia="Arial" w:hAnsi="Arial"/>
          <w:sz w:val="24"/>
          <w:szCs w:val="24"/>
        </w:rPr>
        <w:t xml:space="preserve"> Troop 1365 and Pack 1313 have driven activity in this category in recent years. A visible and community-affirming category.</w:t>
      </w:r>
    </w:p>
    <w:p>
      <w:pPr>
        <w:pStyle w:val="ListParagraph"/>
        <w:numPr>
          <w:ilvl w:val="0"/>
          <w:numId w:val="2"/>
        </w:numPr>
        <w:spacing w:after="80"/>
      </w:pPr>
      <w:r>
        <w:rPr>
          <w:rFonts w:ascii="Arial" w:cs="Arial" w:eastAsia="Arial" w:hAnsi="Arial"/>
          <w:b/>
          <w:bCs/>
          <w:sz w:val="24"/>
          <w:szCs w:val="24"/>
        </w:rPr>
        <w:t xml:space="preserve">Disabled / Elderly:</w:t>
      </w:r>
      <w:r>
        <w:rPr>
          <w:rFonts w:ascii="Arial" w:cs="Arial" w:eastAsia="Arial" w:hAnsi="Arial"/>
          <w:sz w:val="24"/>
          <w:szCs w:val="24"/>
        </w:rPr>
        <w:t xml:space="preserve"> Smaller in volume but consistently represented, primarily by Troop 1365 and Troop 1396. Represents a high-impact category given the level of need in many communities.</w:t>
      </w:r>
    </w:p>
    <w:p>
      <w:pPr>
        <w:spacing w:after="80"/>
      </w:pPr>
      <w:r>
        <w:t xml:space="preserve"/>
      </w:r>
    </w:p>
    <w:p>
      <w:pPr>
        <w:pStyle w:val="Heading1"/>
      </w:pPr>
      <w:r>
        <w:rPr>
          <w:rFonts w:ascii="Arial" w:cs="Arial" w:eastAsia="Arial" w:hAnsi="Arial"/>
          <w:b/>
          <w:bCs/>
          <w:sz w:val="32"/>
          <w:szCs w:val="32"/>
        </w:rPr>
        <w:t xml:space="preserve">Service Hours Priorities for Incoming District Chairman</w:t>
      </w:r>
    </w:p>
    <w:p>
      <w:pPr>
        <w:pStyle w:val="Heading2"/>
      </w:pPr>
      <w:r>
        <w:rPr>
          <w:rFonts w:ascii="Arial" w:cs="Arial" w:eastAsia="Arial" w:hAnsi="Arial"/>
          <w:b/>
          <w:bCs/>
          <w:sz w:val="28"/>
          <w:szCs w:val="28"/>
        </w:rPr>
        <w:t xml:space="preserve">Immediate Actions</w:t>
      </w:r>
    </w:p>
    <w:p>
      <w:pPr>
        <w:pStyle w:val="ListParagraph"/>
        <w:numPr>
          <w:ilvl w:val="0"/>
          <w:numId w:val="2"/>
        </w:numPr>
        <w:spacing w:after="80"/>
      </w:pPr>
      <w:r>
        <w:rPr>
          <w:rFonts w:ascii="Arial" w:cs="Arial" w:eastAsia="Arial" w:hAnsi="Arial"/>
          <w:b/>
          <w:bCs/>
          <w:sz w:val="24"/>
          <w:szCs w:val="24"/>
        </w:rPr>
        <w:t xml:space="preserve">Contact Troop 1396</w:t>
      </w:r>
      <w:r>
        <w:rPr>
          <w:rFonts w:ascii="Arial" w:cs="Arial" w:eastAsia="Arial" w:hAnsi="Arial"/>
          <w:sz w:val="24"/>
          <w:szCs w:val="24"/>
        </w:rPr>
        <w:t xml:space="preserve"> to determine whether 2025 service was completed but not reported in Internet Advancement. Given the unit’s prior consistency (138 hours in 2024), the zero-hour 2025 figure likely reflects a data entry gap.</w:t>
      </w:r>
    </w:p>
    <w:p>
      <w:pPr>
        <w:pStyle w:val="ListParagraph"/>
        <w:numPr>
          <w:ilvl w:val="0"/>
          <w:numId w:val="2"/>
        </w:numPr>
        <w:spacing w:after="80"/>
      </w:pPr>
      <w:r>
        <w:rPr>
          <w:rFonts w:ascii="Arial" w:cs="Arial" w:eastAsia="Arial" w:hAnsi="Arial"/>
          <w:b/>
          <w:bCs/>
          <w:sz w:val="24"/>
          <w:szCs w:val="24"/>
        </w:rPr>
        <w:t xml:space="preserve">Engage Troop 1280</w:t>
      </w:r>
      <w:r>
        <w:rPr>
          <w:rFonts w:ascii="Arial" w:cs="Arial" w:eastAsia="Arial" w:hAnsi="Arial"/>
          <w:sz w:val="24"/>
          <w:szCs w:val="24"/>
        </w:rPr>
        <w:t xml:space="preserve"> leadership directly. The collapse from 395.5 hours (2022) to 3 hours (2025) suggests either a fundamental program culture shift or disengagement from OLR reporting. Both possibilities require different but immediate responses.</w:t>
      </w:r>
    </w:p>
    <w:p>
      <w:pPr>
        <w:pStyle w:val="ListParagraph"/>
        <w:numPr>
          <w:ilvl w:val="0"/>
          <w:numId w:val="2"/>
        </w:numPr>
        <w:spacing w:after="80"/>
      </w:pPr>
      <w:r>
        <w:rPr>
          <w:rFonts w:ascii="Arial" w:cs="Arial" w:eastAsia="Arial" w:hAnsi="Arial"/>
          <w:b/>
          <w:bCs/>
          <w:sz w:val="24"/>
          <w:szCs w:val="24"/>
        </w:rPr>
        <w:t xml:space="preserve">Recognize Troop 1005</w:t>
      </w:r>
      <w:r>
        <w:rPr>
          <w:rFonts w:ascii="Arial" w:cs="Arial" w:eastAsia="Arial" w:hAnsi="Arial"/>
          <w:sz w:val="24"/>
          <w:szCs w:val="24"/>
        </w:rPr>
        <w:t xml:space="preserve"> publicly for its extraordinary 552 service hours in 2025 — a district record. Recognition reinforces culture and sets an aspirational standard for other units.</w:t>
      </w:r>
    </w:p>
    <w:p>
      <w:pPr>
        <w:spacing w:after="80"/>
      </w:pPr>
      <w:r>
        <w:t xml:space="preserve"/>
      </w:r>
    </w:p>
    <w:p>
      <w:pPr>
        <w:pStyle w:val="Heading2"/>
      </w:pPr>
      <w:r>
        <w:rPr>
          <w:rFonts w:ascii="Arial" w:cs="Arial" w:eastAsia="Arial" w:hAnsi="Arial"/>
          <w:b/>
          <w:bCs/>
          <w:sz w:val="28"/>
          <w:szCs w:val="28"/>
        </w:rPr>
        <w:t xml:space="preserve">Near-Term Focus Areas</w:t>
      </w:r>
    </w:p>
    <w:p>
      <w:pPr>
        <w:pStyle w:val="ListParagraph"/>
        <w:numPr>
          <w:ilvl w:val="0"/>
          <w:numId w:val="2"/>
        </w:numPr>
        <w:spacing w:after="80"/>
      </w:pPr>
      <w:r>
        <w:rPr>
          <w:rFonts w:ascii="Arial" w:cs="Arial" w:eastAsia="Arial" w:hAnsi="Arial"/>
          <w:sz w:val="24"/>
          <w:szCs w:val="24"/>
        </w:rPr>
        <w:t xml:space="preserve">Establish a district service reporting standard. A target of at least 100 reported service hours per active troop annually would be a meaningful but achievable benchmark for most units, and would roughly double current district output if met across all troops.</w:t>
      </w:r>
    </w:p>
    <w:p>
      <w:pPr>
        <w:pStyle w:val="ListParagraph"/>
        <w:numPr>
          <w:ilvl w:val="0"/>
          <w:numId w:val="2"/>
        </w:numPr>
        <w:spacing w:after="80"/>
      </w:pPr>
      <w:r>
        <w:rPr>
          <w:rFonts w:ascii="Arial" w:cs="Arial" w:eastAsia="Arial" w:hAnsi="Arial"/>
          <w:sz w:val="24"/>
          <w:szCs w:val="24"/>
        </w:rPr>
        <w:t xml:space="preserve">Address the large gap between Troop 1313’s enrollment (31–43 Scouts) and its service output (24 hours in 2025). With proper program support, Troop 1313 has the scale to be a top-three service contributor. A per-Scout target of 5–10 service hours annually would mean 150–300 hours from this troop alone.</w:t>
      </w:r>
    </w:p>
    <w:p>
      <w:pPr>
        <w:pStyle w:val="ListParagraph"/>
        <w:numPr>
          <w:ilvl w:val="0"/>
          <w:numId w:val="2"/>
        </w:numPr>
        <w:spacing w:after="80"/>
      </w:pPr>
      <w:r>
        <w:rPr>
          <w:rFonts w:ascii="Arial" w:cs="Arial" w:eastAsia="Arial" w:hAnsi="Arial"/>
          <w:sz w:val="24"/>
          <w:szCs w:val="24"/>
        </w:rPr>
        <w:t xml:space="preserve">Rebuild service culture in </w:t>
      </w:r>
      <w:r>
        <w:rPr>
          <w:rFonts w:ascii="Arial" w:cs="Arial" w:eastAsia="Arial" w:hAnsi="Arial"/>
          <w:b/>
          <w:bCs/>
          <w:sz w:val="24"/>
          <w:szCs w:val="24"/>
        </w:rPr>
        <w:t xml:space="preserve">Troop 1305 (Boys)</w:t>
      </w:r>
      <w:r>
        <w:rPr>
          <w:rFonts w:ascii="Arial" w:cs="Arial" w:eastAsia="Arial" w:hAnsi="Arial"/>
          <w:sz w:val="24"/>
          <w:szCs w:val="24"/>
        </w:rPr>
        <w:t xml:space="preserve">, which was the district’s second-most prolific service unit in 2020–2021 and has since nearly vanished from the data (9.5 hours in 2025). A commissioner visit and program conversation with Scoutmaster leadership is warranted.</w:t>
      </w:r>
    </w:p>
    <w:p>
      <w:pPr>
        <w:pStyle w:val="ListParagraph"/>
        <w:numPr>
          <w:ilvl w:val="0"/>
          <w:numId w:val="2"/>
        </w:numPr>
        <w:spacing w:after="80"/>
      </w:pPr>
      <w:r>
        <w:rPr>
          <w:rFonts w:ascii="Arial" w:cs="Arial" w:eastAsia="Arial" w:hAnsi="Arial"/>
          <w:sz w:val="24"/>
          <w:szCs w:val="24"/>
        </w:rPr>
        <w:t xml:space="preserve">As the girls’ Scouting program is rebuilt, incorporate community service goals into the new troop’s charter from the outset. The closed Troops 9191 and 9280 were strong service contributors; the incoming girls’ troop should carry that tradition forward.</w:t>
      </w:r>
    </w:p>
    <w:p>
      <w:pPr>
        <w:pStyle w:val="ListParagraph"/>
        <w:numPr>
          <w:ilvl w:val="0"/>
          <w:numId w:val="2"/>
        </w:numPr>
        <w:spacing w:after="80"/>
      </w:pPr>
      <w:r>
        <w:rPr>
          <w:rFonts w:ascii="Arial" w:cs="Arial" w:eastAsia="Arial" w:hAnsi="Arial"/>
          <w:sz w:val="24"/>
          <w:szCs w:val="24"/>
        </w:rPr>
        <w:t xml:space="preserve">Promote Internet Advancement service reporting at every district roundtable. Low reporting rates mean the district likely understates its actual community impact considerably — improving data quality benefits not just internal planning but also external recognition and grant eligibility for the council.</w:t>
      </w:r>
    </w:p>
    <w:p>
      <w:pPr>
        <w:spacing w:after="80"/>
      </w:pPr>
      <w:r>
        <w:t xml:space="preserve"/>
      </w:r>
    </w:p>
    <w:p>
      <w:pPr>
        <w:pBdr>
          <w:top w:val="single" w:color="CCCCCC" w:sz="4" w:space="1"/>
        </w:pBdr>
        <w:spacing w:before="400"/>
      </w:pPr>
      <w:r>
        <w:rPr>
          <w:rFonts w:ascii="Arial" w:cs="Arial" w:eastAsia="Arial" w:hAnsi="Arial"/>
          <w:i/>
          <w:iCs/>
          <w:color w:val="777777"/>
          <w:sz w:val="18"/>
          <w:szCs w:val="18"/>
        </w:rPr>
        <w:t xml:space="preserve">Data sources: Scouting America Internet Advancement Service Hours and Eagle Project Report, filtered to Anawanna Trails District 13, Laurel Highlands Council 527. Calendar years 2020–2025 (full year) and 2026 year-to-date as of April 15, 2026. Eagle Scout project data reflects Laurel Highlands Council 527 totals and is not district-specific. Actual service hours district-wide are likely higher than reported due to underutilization of Internet Advancement entry by some units. Report prepared April 2026 for District Chairman transition.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8"/>
        <w:szCs w:val="18"/>
      </w:rPr>
      <w:t xml:space="preserve">Page </w:t>
    </w:r>
    <w:r>
      <w:rPr>
        <w:rFonts w:ascii="Arial" w:cs="Arial" w:eastAsia="Arial" w:hAnsi="Arial"/>
        <w:color w:val="555555"/>
        <w:sz w:val="18"/>
        <w:szCs w:val="18"/>
      </w:rPr>
      <w:fldChar w:fldCharType="begin"/>
      <w:instrText xml:space="preserve">PAGE</w:instrText>
      <w:fldChar w:fldCharType="separate"/>
      <w:fldChar w:fldCharType="end"/>
    </w:r>
    <w:r>
      <w:rPr>
        <w:rFonts w:ascii="Arial" w:cs="Arial" w:eastAsia="Arial" w:hAnsi="Arial"/>
        <w:color w:val="555555"/>
        <w:sz w:val="18"/>
        <w:szCs w:val="18"/>
      </w:rPr>
      <w:t xml:space="preserve"> — Prepared for District Chairman Transition — April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5F96" w:sz="6" w:space="1"/>
      </w:pBdr>
      <w:jc w:val="right"/>
    </w:pPr>
    <w:r>
      <w:rPr>
        <w:rFonts w:ascii="Arial" w:cs="Arial" w:eastAsia="Arial" w:hAnsi="Arial"/>
        <w:color w:val="555555"/>
        <w:sz w:val="18"/>
        <w:szCs w:val="18"/>
      </w:rPr>
      <w:t xml:space="preserve">Anawanna Trails District 13 — Service Hours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2E5F96"/>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2026-04-16T00:05:42.081Z</dcterms:created>
  <dcterms:modified xsi:type="dcterms:W3CDTF">2026-04-16T00:05:42.082Z</dcterms:modified>
</cp:coreProperties>
</file>

<file path=docProps/custom.xml><?xml version="1.0" encoding="utf-8"?>
<Properties xmlns="http://schemas.openxmlformats.org/officeDocument/2006/custom-properties" xmlns:vt="http://schemas.openxmlformats.org/officeDocument/2006/docPropsVTypes"/>
</file>